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C46C77" w:rsidRPr="00C46C77" w:rsidTr="00C46C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C77" w:rsidRPr="00C46C77" w:rsidRDefault="00C46C77" w:rsidP="00C46C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МІНІСТЕРСТВО ФІНАНСІВ УКРАЇНИ</w:t>
            </w:r>
          </w:p>
          <w:p w:rsidR="00C46C77" w:rsidRPr="00C46C77" w:rsidRDefault="00C46C77" w:rsidP="00C46C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 </w:t>
            </w:r>
          </w:p>
          <w:p w:rsidR="00C46C77" w:rsidRPr="00C46C77" w:rsidRDefault="00C46C77" w:rsidP="00C46C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НАКАЗ</w:t>
            </w:r>
          </w:p>
          <w:p w:rsidR="00C46C77" w:rsidRPr="00C46C77" w:rsidRDefault="00C46C77" w:rsidP="00C46C7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 </w:t>
            </w: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277"/>
              <w:gridCol w:w="2801"/>
              <w:gridCol w:w="3277"/>
            </w:tblGrid>
            <w:tr w:rsidR="00C46C77" w:rsidRPr="00C46C77">
              <w:trPr>
                <w:tblCellSpacing w:w="15" w:type="dxa"/>
              </w:trPr>
              <w:tc>
                <w:tcPr>
                  <w:tcW w:w="1750" w:type="pct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 w:eastAsia="uk-UA"/>
                    </w:rPr>
                    <w:t>25</w:t>
                  </w:r>
                  <w:r w:rsidRPr="00C46C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.0</w:t>
                  </w:r>
                  <w:r w:rsidRPr="00C46C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 w:eastAsia="uk-UA"/>
                    </w:rPr>
                    <w:t>9</w:t>
                  </w:r>
                  <w:r w:rsidRPr="00C46C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.201</w:t>
                  </w:r>
                  <w:r w:rsidRPr="00C46C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 w:eastAsia="uk-UA"/>
                    </w:rPr>
                    <w:t>5</w:t>
                  </w:r>
                </w:p>
              </w:tc>
              <w:tc>
                <w:tcPr>
                  <w:tcW w:w="1500" w:type="pct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м. Київ</w:t>
                  </w:r>
                </w:p>
              </w:tc>
              <w:tc>
                <w:tcPr>
                  <w:tcW w:w="1750" w:type="pct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uk-UA"/>
                    </w:rPr>
                    <w:t>N </w:t>
                  </w:r>
                  <w:r w:rsidRPr="00C46C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 w:eastAsia="uk-UA"/>
                    </w:rPr>
                    <w:t>840</w:t>
                  </w:r>
                </w:p>
              </w:tc>
            </w:tr>
          </w:tbl>
          <w:p w:rsidR="00C46C77" w:rsidRPr="00C46C77" w:rsidRDefault="00C46C77" w:rsidP="00C4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before="80" w:after="0" w:line="240" w:lineRule="auto"/>
              <w:ind w:right="439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 затвердження Змін до деяких  Методичних рекомендацій з бухгалтерського обліку для суб’єктів державного сектору</w:t>
            </w:r>
          </w:p>
          <w:p w:rsidR="00C46C77" w:rsidRPr="00C46C77" w:rsidRDefault="00C46C77" w:rsidP="00C46C77">
            <w:pPr>
              <w:spacing w:before="80" w:after="0" w:line="240" w:lineRule="auto"/>
              <w:ind w:right="439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Відповідно до статті 56 Бюджетного кодексу України, частини другої статті 6 Закону України «Про бухгалтерський облік та фінансову звітність в Україні»</w:t>
            </w:r>
          </w:p>
          <w:p w:rsidR="00C46C77" w:rsidRPr="00C46C77" w:rsidRDefault="00C46C77" w:rsidP="00C46C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НАКАЗУЮ:</w:t>
            </w:r>
          </w:p>
          <w:p w:rsidR="00C46C77" w:rsidRPr="00C46C77" w:rsidRDefault="00C46C77" w:rsidP="00C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 Затвердити Зміни до деяких Методичних рекомендацій з бухгалтерського обліку для суб’єктів державного сектору, що додаються.</w:t>
            </w:r>
          </w:p>
          <w:p w:rsidR="00C46C77" w:rsidRPr="00C46C77" w:rsidRDefault="00C46C77" w:rsidP="00C46C77">
            <w:pPr>
              <w:spacing w:before="8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 Департаменту податкової, митної політики та методології бухгалтерського обліку (Чмерук М. О.) забезпечити оприлюднення цього наказу на офіційному веб-сайті Міністерства фінансів України в мережі Інтернет.</w:t>
            </w:r>
          </w:p>
          <w:p w:rsidR="00C46C77" w:rsidRPr="00C46C77" w:rsidRDefault="00C46C77" w:rsidP="00C46C77">
            <w:pPr>
              <w:spacing w:before="8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Контроль за виконанням цього наказу покласти на заступника Міністра </w:t>
            </w:r>
            <w:proofErr w:type="spellStart"/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Макеєву</w:t>
            </w:r>
            <w:proofErr w:type="spellEnd"/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О. Л.</w:t>
            </w:r>
          </w:p>
          <w:p w:rsidR="00C46C77" w:rsidRPr="00C46C77" w:rsidRDefault="00C46C77" w:rsidP="00C46C7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В. о. Міністра                                                                             І. УМАНСЬКИЙ</w:t>
            </w:r>
          </w:p>
          <w:p w:rsidR="00C46C77" w:rsidRPr="00C46C77" w:rsidRDefault="00C46C77" w:rsidP="00C46C7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C46C77" w:rsidRDefault="00C46C77" w:rsidP="00C4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Pr="00C46C77" w:rsidRDefault="00C46C77" w:rsidP="00C4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C46C77" w:rsidRDefault="00C46C77" w:rsidP="00C46C77">
            <w:pPr>
              <w:spacing w:after="0" w:line="240" w:lineRule="auto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Pr="00C46C77" w:rsidRDefault="00C46C77" w:rsidP="00C46C77">
            <w:pPr>
              <w:spacing w:after="0" w:line="240" w:lineRule="auto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ЗАТВЕРДЖЕНО</w:t>
            </w:r>
          </w:p>
          <w:p w:rsidR="00C46C77" w:rsidRPr="00C46C77" w:rsidRDefault="00C46C77" w:rsidP="00C46C77">
            <w:pPr>
              <w:spacing w:after="0" w:line="240" w:lineRule="auto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Наказ Міністерства фінансів України</w:t>
            </w:r>
          </w:p>
          <w:p w:rsidR="00C46C77" w:rsidRPr="00C46C77" w:rsidRDefault="00C46C77" w:rsidP="00C46C77">
            <w:pPr>
              <w:spacing w:after="0" w:line="240" w:lineRule="auto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25.09.2015 року № 840</w:t>
            </w:r>
          </w:p>
          <w:p w:rsidR="00C46C77" w:rsidRPr="00C46C77" w:rsidRDefault="00C46C77" w:rsidP="00C4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 </w:t>
            </w:r>
          </w:p>
          <w:p w:rsidR="00C46C77" w:rsidRPr="00C46C77" w:rsidRDefault="00C46C77" w:rsidP="00C4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ЗМІНИ</w:t>
            </w: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br/>
              <w:t>до деяких Методичних рекомендацій з бухгалтерського обліку для суб’єктів державного сектору</w:t>
            </w:r>
          </w:p>
          <w:p w:rsidR="00C46C77" w:rsidRPr="00C46C77" w:rsidRDefault="00C46C77" w:rsidP="00C4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У Методичних рекомендаціях з бухгалтерського обліку основних засобів суб’єктів державного сектору, затверджених наказом Міністерства фінансів України від 23 січня 2015 року № 11: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у пункті 3 розділу II: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абзаці першому слова «та таких, що мають специфічне призначення» виключити;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доповнити пункт новим абзацом такого змісту: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«Для необоротних матеріальних активів спеціального призначення суб’єкт державного сектору може присвоювати інвентарні або номенклатурні номери.»;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у розділі ІІІ: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пункті 5: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доповнити після абзацу першого новим абзацом такого змісту: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«Первісною вартістю основних засобів, отриманих безоплатно від фізичних та юридичних осіб (крім суб'єктів державного сектору), може бути вартість, щодо якої є достовірна інформація, зокрема згідно з відповідними первинними документами, з урахуванням витрат, передбачених пунктом 3 цього розділу.».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зв’язку з цим абзаци другий – дев’ятий вважати відповідно абзацами третім – десятим;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абзац четвертий виключити.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зв’язку з цим абзаци п’ятий – десятий вважати відповідно четвертим – дев’ятим;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абзаці четвертому слова «та для підпорядкованих суб’єктів державного сектору – представники суб'єкта державного сектору вищого рівня» виключити;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 пункті 8 слова «в гривнях без копійок» виключити;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першому реченні пункту 15 слова «та номінальними цінами, включаючи вартість початкових палітурних робіт» виключити;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 у розділі V: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доповнити пункт 1 новим абзацом такого змісту: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«Ліквідаційна вартість визначається комісією, створеною наказом керівника суб’єкта державного сектору, при введенні об’єкта в експлуатацію або у разі, коли залишкова вартість об’єкта основних засобів дорівнює нулю, але об’єкт ще придатний до експлуатації.»»;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доповнити абзац перший пункту 2 новим реченням такого змісту: «Також амортизація не нараховується на об'єкти основних засобів, доступ до яких обмежений у зв’язку з тим, що вони перебувають на тимчасово окупованій території та/або на території проведення антитерористичної операції.»;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пункті 4: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доповнити абзац перший новим реченням такого змісту: «За рішенням керівника суб’єкта державного сектору у розпорядчому документі про облікову політику може бути передбачено нарахування амортизації на річну дату балансу.»;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доповнити абзац другий словами «та введений в експлуатацію»;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абзац третій виключити.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зв’язку з цим абзац четвертий вважати відповідно абзацом третім;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перше речення абзацу третього викласти в такій редакції: «При вибутті об’єкта основних засобів суб’єкт державного сектору нараховує амортизацію в місяці його вибуття»;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доповнити абзац перший пункту 5 після слів «матеріальних активів» словами «, амортизація вартості яких здійснюється за методом, визначеним у пункті 6 цього розділу»;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доповнити абзац перший пункту 6 після слова «рекомендацій» словами в дужках «(крім необоротних матеріальних активів спеціального призначення)»;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доповнити пункт 7 після слів ««Про Національний архівний фонд та архівні установи»,» словами «рідкісні та особливо цінні документи та колекції, які є частиною бібліотечних фондів, що внесені (підлягають </w:t>
            </w: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внесенню) до Державного реєстру національного культурного надбання України,»;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у розділі VIІ: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доповнити абзац перший пункту 1 після слів «вартості на» словом «річну»;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доповнити абзац перший пункту 2 після слів «вартість на» словом «річну»;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доповнити пункт 4 після абзацу другого новим абзацом третім такого змісту: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«Визначення ліквідаційної вартості не є переоцінкою об’єкта основних засобів.».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зв’язку з цим абзац третій вважати абзацом четвертим;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5) у розділі VIII: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пункті 9: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абзаці третьому слова «відповідно до законодавства» замінити словами «у порядку, викладеному у пункті 15 розділу ІІ Методичних рекомендацій з бухгалтерського обліку запасів суб’єктів державного сектору, затверджених наказом Міністерства фінансів України від 23 січня 2015 року № 11»;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доповнити пункт після абзацу третього новим абзацом четвертим такого змісту: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«Сума оприбуткованих матеріалів, отриманих від ліквідації та розбирання необоротних активів, які залишені для ремонту та інших потреб установи, визнається доходом спеціального фонду суб’єкта державного сектору.».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зв’язку з цим абзац четвертий вважати абзацом п’ятим;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абзаці першому пункту 10 слово «нерухомого» виключити.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У Методичних рекомендаціях з бухгалтерського обліку нематеріальних активів суб’єктів державного сектору, затверджених наказом Міністерства фінансів України від 23 січня 2015 року № 11: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у розділі ІІ: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пункті 10: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доповнити після абзацу першого новим абзацом другим такого змісту: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«Первісною вартістю нематеріальних активів, отриманих безоплатно від фізичних та юридичних осіб (крім суб'єктів державного сектору), може бути вартість, щодо якої є достовірна інформація, зокрема згідно з відповідними первинними документами, з урахуванням витрат, передбачених пунктом 6 цього розділу.».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зв’язку з цим абзаци другий – шостий вважати відповідно абзацами третім – сьомим;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абзац четвертий виключити.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зв’язку з цим абзаци п’ятий – сьомий вважати відповідно абзацами четвертим – шостим;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абзаці четвертому слова «та для підпорядкованих суб’єктів державного сектору – представники суб’єкта державного сектору вищого рівня» виключити;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пункті 14 слова «та обліковуються у гривнях без копійок» виключити;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у розділі ІІІ: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доповнити пункт 3 після слів «вартістю на» словом «річну»;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доповнити абзац другий пункту 5 після слів «вартість на» словом «річну»;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 у розділі IV: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доповнити пункт 1 новим абзацом такого змісту: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«Ліквідаційна вартість визначається комісією, створеною наказом керівника суб’єкта державного сектору.»;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доповнити пункт 3 новим реченням такого змісту: «Амортизація не нараховується на нематеріальні активи, доступ до яких обмежений у зв’язку з тим, що вони перебувають на тимчасово окупованій території та/або на території проведення антитерористичної операції.»;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пункті 5: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доповнити абзац перший новим реченням такого змісту: «За рішенням керівника суб’єкта державного сектору у розпорядчому документі про облікову політику може бути передбачено нарахування амортизації на річну дату балансу.»;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абзац третій виключити.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зв’язку з цим абзаци четвертий – шостий вважати відповідно абзацами третім – п’ятим;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перше речення абзацу третього викласти в такій редакції: «При вибутті об’єкта нематеріального активу суб’єкт державного сектору нараховує амортизацію в місяці його вибуття.»;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абзаці четвертому слова «зносу (амортизації)» замінити словами «накопиченої амортизації»;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у розділі VI: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1 викласти в такій редакції: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«1. Об'єкт нематеріальних активів списується з балансу в разі його вибуття внаслідок безоплатної передачі, неможливості отримання суб'єктом державного сектору надалі економічних вигід та/або потенціалу корисності від його використання або невідповідності критеріям визнання активом.»;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доповнити пункт 2 після слів «первісна (переоцінена)» словом «, балансова» та слова «накопиченого зносу (амортизації)» замінити словами «накопиченої амортизації».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У Методичних рекомендаціях з бухгалтерського обліку запасів суб’єктів державного сектору, затверджених наказом Міністерства фінансів України від 23 січня 2015 року № 11: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у розділі ІІ: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доповнити абзац другий пункту 8 після слова «субрахунку» словами «рахунків обліку запасів»;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абзац перший пункту 9 замінити чотирма новими абзацами такого змісту: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«Сума транспортно-заготівельних витрат, що узагальнюється на окремому субрахунку рахунків обліку запасів або аналітичному рахунку, щомісячно може розподілятися такими способами: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пропорційно відноситься на суму запасів, що вибули (використані, реалізовані, безоплатно передані тощо). У разі використання цього способу на кінець місяця на окремому субрахунку рахунків обліку запасів або аналітичному рахунку може бути залишок суми транспортно-заготівельних витрат;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розподіляється між сумою залишку запасів станом на кінець звітного </w:t>
            </w: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місяця і сумою запасів, що вибули (використані, реалізовані, безоплатно передані тощо) за звітний місяць. У разі використання цього способу на кінець місяця весь залишок на окремому субрахунку рахунків обліку запасів або аналітичному рахунку суми транспортно-заготівельних витрат повністю розподіляється.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Сума транспортно-заготівельних витрат, яка відноситься (розподіляється) до запасів, що вибули, визначається як добуток середнього відсотка транспортно-заготівельних витрат і вартості запасів, що вибули, з відображенням її на тих самих рахунках обліку, у кореспонденції з якими відображено вибуття цих запасів.».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зв’язку з цим абзац другий вважати абзацом п’ятим.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абзаці п’ятому пункту 13 слова «підприємства-постачальника» замінити  словом «постачальника»;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пункті 24: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абзаці першому слова «вимог пункту» замінити словами «витрат, передбачених пунктом»;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доповнити пункт після абзацу першого новим абзацом другим такого змісту: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«Первісною вартістю запасів, отриманих безоплатно від фізичних та юридичних осіб (крім суб'єктів державного сектору), може бути вартість, щодо якої є достовірна інформація, зокрема згідно з відповідними первинними документами, з урахуванням витрат, передбачених пунктом 5 цього розділу.».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зв’язку з цим абзаци другий – четвертий вважати відповідно абзацами третім – п’ятим.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у розділі </w:t>
            </w: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V</w:t>
            </w: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пункті 2 перше речення викласти в такій редакції: «Запаси приймаються комісією, створеною наказом керівника суб'єкта державного сектору, до складу якої обов'язково входить працівник бухгалтерської служби.»;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абзац третій пункту 6 викласти в такій редакції: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«При оприбуткуванні конфіскованого або зверненого в дохід держави судом майна суб’єкт державного сектору одночасно на його вартість відображає зобов’язання перед бюджетом або іншим суб’єктом державного сектору у випадках, передбачених законодавством. Аналітичний облік таких зобов’язань перед бюджетом (іншим суб’єктом державного сектору) ведеться </w:t>
            </w: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за відповідним документом (акт опису та арешту майна, рішення про безоплатну передачу майна тощо).».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У Методичних рекомендаціях щодо облікової політики суб'єкта державного сектору, затверджених наказом Міністерства фінансів України від 23 січня 2015 року № 11: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у розділі ІІ: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пункті 1: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доповнити пункт новими абзацами такого змісту: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«періодичність нарахування амортизації;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кореспонденцію субрахунків бухгалтерського обліку.»;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абзаці третьому слова «, форми первинних документів, що використовуються для оформлення руху запасів, розроблені суб'єктом державного сектору самостійно» виключити;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пункт 2 викласти в такій редакції: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«2. Суб'єкти державного сектору  зазначають у розпорядчому документі про облікову політику кореспонденцію субрахунків бухгалтерського обліку для відображення операцій з активами, капіталом та зобов'язаннями, що не передбачена Типовою кореспонденція субрахунків бухгалтерського обліку для відображення операцій з активами, капіталом та зобов'язаннями, із збереженням єдиних методологічних засад, визначених національними положеннями (стандартами) бухгалтерського обліку в державному секторі та іншими нормативно-правовими актами з бухгалтерського обліку в державному секторі.».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пункті 6: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абзаци третій та четвертий виключити;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доповнити пункт новими абзацами третім – п’ятим такого змісту: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«Сума транспортно-заготівельних витрат, що узагальнюється на окремому субрахунку рахунків обліку запасів або аналітичному рахунку, щомісячно може розподілятися такими способами: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пропорційно відноситься на суму запасів, що вибули (використані, реалізовані, безоплатно передані тощо). У разі використання цього способу на кінець місяця на окремому субрахунку рахунків обліку запасів або аналітичному рахунку може бути залишок суми транспортно-заготівельних витрат;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розподіляється між сумою залишку запасів станом на кінець звітного місяця і сумою запасів, що вибули (використані, реалізовані, безоплатно передані тощо) за звітний місяць. У разі використання цього способу на кінець місяця весь залишок на окремому субрахунку рахунків обліку запасів або аналітичному рахунку суми транспортно-заготівельних витрат повністю розподіляється.»;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доповнити розділ новим пунктом такого змісту: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«9. Приклад наказу про затвердження Положення про облікову політику наведено у додатку 3 до цих Методичних рекомендацій»;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у додатку 1 до Методичних рекомендацій щодо облікової політики суб’єкта державного сектору» рядок 9 виключити;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 доповнити Методичні рекомендації щодо облікової політики суб’єкта державного сектору додатком 3 такого змісту:</w:t>
            </w:r>
          </w:p>
          <w:p w:rsidR="00C46C77" w:rsidRPr="00C46C77" w:rsidRDefault="00C46C77" w:rsidP="00C46C77">
            <w:pPr>
              <w:spacing w:after="24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P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«Додаток 3</w:t>
            </w:r>
          </w:p>
          <w:p w:rsidR="00C46C77" w:rsidRPr="00C46C77" w:rsidRDefault="00C46C77" w:rsidP="00C46C77">
            <w:pPr>
              <w:spacing w:after="0" w:line="240" w:lineRule="auto"/>
              <w:ind w:left="52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Методичних рекомендацій щодо облікової політики суб’єкта державного сектору</w:t>
            </w:r>
          </w:p>
          <w:p w:rsidR="00C46C77" w:rsidRPr="00C46C77" w:rsidRDefault="00C46C77" w:rsidP="00C46C77">
            <w:pPr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Приклад наказу про затвердження Положення про облікову політику</w:t>
            </w:r>
          </w:p>
          <w:p w:rsidR="00C46C77" w:rsidRPr="00C46C77" w:rsidRDefault="00C46C77" w:rsidP="00C4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0"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_______________________________________</w:t>
            </w:r>
          </w:p>
          <w:p w:rsidR="00C46C77" w:rsidRPr="00C46C77" w:rsidRDefault="00C46C77" w:rsidP="00C46C77">
            <w:pPr>
              <w:spacing w:after="0"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(найменування суб’єкта державного сектору)</w:t>
            </w:r>
          </w:p>
          <w:p w:rsidR="00C46C77" w:rsidRPr="00C46C77" w:rsidRDefault="00C46C77" w:rsidP="00C46C77">
            <w:pPr>
              <w:spacing w:after="240"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240"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uk-UA"/>
              </w:rPr>
              <w:t>НАКАЗ</w:t>
            </w:r>
          </w:p>
          <w:p w:rsidR="00C46C77" w:rsidRPr="00C46C77" w:rsidRDefault="00C46C77" w:rsidP="00C46C77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                                                        (назва міста)                                     № ___</w:t>
            </w:r>
          </w:p>
          <w:p w:rsidR="00C46C77" w:rsidRPr="00C46C77" w:rsidRDefault="00C46C77" w:rsidP="00C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затвердження Положення</w:t>
            </w:r>
          </w:p>
          <w:p w:rsidR="00C46C77" w:rsidRPr="00C46C77" w:rsidRDefault="00C46C77" w:rsidP="00C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облікову політику</w:t>
            </w:r>
          </w:p>
          <w:p w:rsidR="00C46C77" w:rsidRPr="00C46C77" w:rsidRDefault="00C46C77" w:rsidP="00C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Відповідно до Закону України «Про бухгалтерський облік та фінансову звітність в Україні», Типового положення про бухгалтерську службу бюджетної установи, затвердженого постановою Кабінету Міністрів України від 26 січня 2011 року № 59, Національного положення (стандарту) бухгалтерського обліку в державному секторі 125 «Зміни облікових оцінок та виправлення помилок», затвердженого наказом Міністерства фінансів України від 24 грудня 2010 року № 1629,</w:t>
            </w:r>
          </w:p>
          <w:p w:rsidR="00C46C77" w:rsidRPr="00C46C77" w:rsidRDefault="00C46C77" w:rsidP="00C46C77">
            <w:pPr>
              <w:spacing w:after="24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НАКАЗУЮ: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Затвердити Положення про облікову політику, що додається.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Керівнику Управління документообігу та контролю за виконанням документів ознайомити з наказом усіх керівників структурних підрозділів та спеціалістів бухгалтерської служби й відділу матеріально-технічного забезпечення.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Контроль за виконанням цього наказу залишаю за собою.</w:t>
            </w:r>
          </w:p>
          <w:tbl>
            <w:tblPr>
              <w:tblpPr w:leftFromText="180" w:rightFromText="180" w:vertAnchor="text" w:horzAnchor="page" w:tblpX="754" w:tblpY="9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98"/>
              <w:gridCol w:w="567"/>
              <w:gridCol w:w="2376"/>
              <w:gridCol w:w="567"/>
              <w:gridCol w:w="2798"/>
            </w:tblGrid>
            <w:tr w:rsidR="00C46C77" w:rsidRPr="00C46C77" w:rsidTr="00C46C77">
              <w:trPr>
                <w:trHeight w:val="471"/>
              </w:trPr>
              <w:tc>
                <w:tcPr>
                  <w:tcW w:w="239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24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24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24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24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24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  <w:tr w:rsidR="00C46C77" w:rsidRPr="00C46C77" w:rsidTr="00C46C77">
              <w:trPr>
                <w:trHeight w:val="471"/>
              </w:trPr>
              <w:tc>
                <w:tcPr>
                  <w:tcW w:w="2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24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(посада)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24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24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(підпис)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24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24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(ініціали, прізвище)</w:t>
                  </w:r>
                </w:p>
              </w:tc>
            </w:tr>
          </w:tbl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24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240"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C46C77" w:rsidRDefault="00C46C77" w:rsidP="00C46C77">
            <w:pPr>
              <w:spacing w:after="0" w:line="240" w:lineRule="auto"/>
              <w:ind w:left="467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Default="00C46C77" w:rsidP="00C46C77">
            <w:pPr>
              <w:spacing w:after="0" w:line="240" w:lineRule="auto"/>
              <w:ind w:left="467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  <w:p w:rsidR="00C46C77" w:rsidRPr="00C46C77" w:rsidRDefault="00C46C77" w:rsidP="00C46C77">
            <w:pPr>
              <w:spacing w:after="0" w:line="240" w:lineRule="auto"/>
              <w:ind w:left="467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ЗАТВЕРДЖЕНО</w:t>
            </w:r>
          </w:p>
          <w:p w:rsidR="00C46C77" w:rsidRPr="00C46C77" w:rsidRDefault="00C46C77" w:rsidP="00C46C77">
            <w:pPr>
              <w:spacing w:after="0" w:line="240" w:lineRule="auto"/>
              <w:ind w:left="467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Наказ _____________________________</w:t>
            </w:r>
          </w:p>
          <w:p w:rsidR="00C46C77" w:rsidRPr="00C46C77" w:rsidRDefault="00C46C77" w:rsidP="00C46C77">
            <w:pPr>
              <w:spacing w:after="0" w:line="240" w:lineRule="auto"/>
              <w:ind w:left="467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(найменування суб’єкта державного сектору )</w:t>
            </w:r>
          </w:p>
          <w:p w:rsidR="00C46C77" w:rsidRPr="00C46C77" w:rsidRDefault="00C46C77" w:rsidP="00C46C77">
            <w:pPr>
              <w:spacing w:after="0" w:line="240" w:lineRule="auto"/>
              <w:ind w:left="467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 201__ року № ____</w:t>
            </w:r>
          </w:p>
          <w:p w:rsidR="00C46C77" w:rsidRPr="00C46C77" w:rsidRDefault="00C46C77" w:rsidP="00C46C77">
            <w:pPr>
              <w:spacing w:after="240" w:line="36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Положення</w:t>
            </w:r>
          </w:p>
          <w:p w:rsidR="00C46C77" w:rsidRPr="00C46C77" w:rsidRDefault="00C46C77" w:rsidP="00C46C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 облікову політику</w:t>
            </w:r>
          </w:p>
          <w:p w:rsidR="00C46C77" w:rsidRPr="00C46C77" w:rsidRDefault="00C46C77" w:rsidP="00C46C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Положення про облікову політику (далі – Положення) визначає методи оцінки, обліку і процедури, які застосовуються суб’єктом державного сектору для ведення бухгалтерського обліку, складання і подання фінансової та бюджетної звітності, не визначені національними положеннями (стандартами) бухгалтерського обліку в державному секторі або щодо яких передбачено більш ніж один їх варіант, а також строки корисного використання груп основних засобів та нематеріальних активів.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Одиницею аналітичного обліку запасів визнається їх найменування, додатково облік запасів здійснюється за номенклатурними номерами.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У місцях зберігання запасів матеріально відповідальні особи ведуть кількісний облік руху запасів в книзі складського обліку запасів за найменуваннями, номенклатурними номерами та кількістю. Щокварталу на дату балансу спеціаліст бухгалтерської служби, відповідальний за ведення обліку запасів, проводить вибіркову звірку фактичної наявності запасів із записами у книзі та даними бухгалтерського обліку.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У бухгалтерській службі облік запасів ведеться за найменуваннями, номенклатурними номерами в розрізі матеріально відповідальних осіб – в оборотних відомостях (за кожним субрахунком) в кількісному та сумарному вимірах.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 Відпуск запасів у використання, виробництво, продаж, інше вибуття здійснювати за середньозваженою собівартістю, яка обчислюється при отриманні кожної партії запасів однотипних запасів.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Транспортно-заготівельні витрати, пов’язані з придбанням запасів, узагальнюються за окремими групами на окремому субрахунку. Сума транспортно-заготівельних витрат, що узагальнюється на окремому субрахунку рахунків обліку запасів, </w:t>
            </w:r>
            <w:proofErr w:type="spellStart"/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пропорційновідноситься</w:t>
            </w:r>
            <w:proofErr w:type="spellEnd"/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суму запасів, що вибули (використані, реалізовані, безоплатно передані тощо) за звітний місяць.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3. Амортизація необоротних активів нараховується виходячи зі строків корисного використання основних засобів та нематеріальних активів, визначених у додатках 1, 2 до цього Положення.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Нарахування амортизації проводиться на дату балансу (щокварталу).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 У разі виправлення суттєвих помилок, які відносяться до попередніх періодів, та повторного складання фінансової звітності встановлюється поріг суттєвої помилки в розмірі ___  відсотків відповідно до підсумку балансу.</w:t>
            </w:r>
          </w:p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 Зміни до цього Положення вносяться лише у випадках, установлених у національних положеннях (стандартах) бухгалтерського обліку в державному секторі, та обов’язково обґрунтовуються і розкриваються у фінансовій звітності, а також у випадках, коли зміни до облікової політики сприятимуть більш достовірному відображенню в бухгалтерському обліку інформації про здійснені господарські операції.</w:t>
            </w:r>
          </w:p>
          <w:tbl>
            <w:tblPr>
              <w:tblpPr w:leftFromText="180" w:rightFromText="180" w:vertAnchor="text" w:horzAnchor="margin" w:tblpY="393"/>
              <w:tblOverlap w:val="never"/>
              <w:tblW w:w="940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10"/>
              <w:gridCol w:w="594"/>
              <w:gridCol w:w="2487"/>
              <w:gridCol w:w="594"/>
              <w:gridCol w:w="3221"/>
            </w:tblGrid>
            <w:tr w:rsidR="00C46C77" w:rsidRPr="00C46C77" w:rsidTr="00C46C77">
              <w:trPr>
                <w:trHeight w:val="695"/>
              </w:trPr>
              <w:tc>
                <w:tcPr>
                  <w:tcW w:w="25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D004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D004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(посада)</w:t>
                  </w:r>
                </w:p>
              </w:tc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D004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4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D004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D004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(підпис)</w:t>
                  </w:r>
                </w:p>
              </w:tc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D004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32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D004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D004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(ініціали, прізвище)»</w:t>
                  </w:r>
                </w:p>
              </w:tc>
            </w:tr>
            <w:tr w:rsidR="00C46C77" w:rsidRPr="00C46C77" w:rsidTr="00C46C77">
              <w:trPr>
                <w:trHeight w:val="439"/>
              </w:trPr>
              <w:tc>
                <w:tcPr>
                  <w:tcW w:w="25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D004F8">
                  <w:pPr>
                    <w:spacing w:after="24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D004F8">
                  <w:pPr>
                    <w:spacing w:after="24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4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D004F8">
                  <w:pPr>
                    <w:spacing w:after="24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D004F8">
                  <w:pPr>
                    <w:spacing w:after="24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32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D004F8">
                  <w:pPr>
                    <w:spacing w:after="24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</w:tbl>
          <w:p w:rsidR="00C46C77" w:rsidRPr="00C46C77" w:rsidRDefault="00C46C77" w:rsidP="00C46C77">
            <w:pPr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tbl>
            <w:tblPr>
              <w:tblpPr w:leftFromText="180" w:rightFromText="180" w:vertAnchor="text" w:horzAnchor="page" w:tblpX="5544" w:tblpY="-148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252"/>
            </w:tblGrid>
            <w:tr w:rsidR="00C46C77" w:rsidRPr="00C46C77" w:rsidTr="00C46C77">
              <w:trPr>
                <w:trHeight w:val="426"/>
              </w:trPr>
              <w:tc>
                <w:tcPr>
                  <w:tcW w:w="42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«Додаток 1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до Положення про облікову політику</w:t>
                  </w:r>
                </w:p>
              </w:tc>
            </w:tr>
          </w:tbl>
          <w:p w:rsidR="00C46C77" w:rsidRPr="00C46C77" w:rsidRDefault="00C46C77" w:rsidP="00C46C77">
            <w:pPr>
              <w:spacing w:after="240" w:line="3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  <w:p w:rsidR="00C46C77" w:rsidRPr="00C46C77" w:rsidRDefault="00C46C77" w:rsidP="00C4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Строки корисного використання основних засобів</w:t>
            </w:r>
          </w:p>
          <w:p w:rsidR="00C46C77" w:rsidRPr="00C46C77" w:rsidRDefault="00C46C77" w:rsidP="00C4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64"/>
              <w:gridCol w:w="1780"/>
              <w:gridCol w:w="5372"/>
              <w:gridCol w:w="1934"/>
            </w:tblGrid>
            <w:tr w:rsidR="00C46C77" w:rsidRPr="00C46C77">
              <w:trPr>
                <w:jc w:val="center"/>
              </w:trPr>
              <w:tc>
                <w:tcPr>
                  <w:tcW w:w="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N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з/п</w:t>
                  </w:r>
                </w:p>
              </w:tc>
              <w:tc>
                <w:tcPr>
                  <w:tcW w:w="16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Назва субрахунку</w:t>
                  </w:r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Назва підгрупи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Строк корисного використання, років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Будинки та споруди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Будинки виробничо-господарського призначення (підгрупа 1):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з плівкових матеріалів, збірно-розбірні, пересувні, кіоски, ларьки, альтанки тощо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дерев'яні, каркасні і щитові, контейнерні, дерево-металеві, каркасно-обшивні і панельні, глинобитні, сирцеві, саманові та інші аналогічні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20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без каркасів зі стінами полегшеної кам'яної кладки, залізобетонними, цегляними і дерев'яними колонами та стовпами, із залізобетонними, дерев'яними та іншими перекриттями; дерев'яні з брущатими або зробленими з колод рубаними стінами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25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із залізобетонними і металевими каркасами, зі стінами з кам'яних матеріалів, великих блоків і панелей, із залізобетонними, металевими, іншими довговічними покриттями та інші некласифіковані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50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Будинки, що повністю чи переважно призначені для проживання (підгрупа 2): каркасно-комишитові та інші полегшені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15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сирцеві, збірно-щитові, каркасно-засипні, глинобитні, саманові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20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інші некласифіковані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50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Водокачки, стадіони, басейни, дороги, мости, пам'ятники, загорожі парків, скверів і загальних садів тощо (підгрупа 3)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20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Лінії електропередач, трансмісії та трубопроводи з усіма проміжними пристроями, необхідними для трансформації (перетворення) і передачі енергії та для переміщення трубопроводами рідких та газоподібних речовин до споживача (підгрупа 4)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20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Гідротехнічні споруди, у тому числі канали, дамби, водозахисні об'єкти, колекторно-дренажні мережі, водомірні пости та інші споруди (підгрупа 5):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греблі бетонні, залізобетонні, кам'яні, земляні, тунелі, водоскиди і водоприймачі, акведуки, лотки, дюкери і водопровідні споруди, рибопропускні і рибозахисні споруди, напірні трубопроводи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50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берегоукріплювальні та берегозахисні споруди залізобетонні, бетонні, кам'яні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40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гідротехнічні споруди дерев'яні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водосховища при земляних дамбах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50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водоскиди і водовипуски при ставках: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бетонні та залізобетонні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40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дерев'яні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гідротехнічні споруди на каналах (шлюзи-регулятори, мости-відводи, дюкери, у тому числі стальні, акведуки, водоскиди кам'яні, бетонні і залізобетонні та інше)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40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зрошувальна і осушувальна мережа: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канали земляні без облицювання, канали, облицьовані каменем, бетоном, залізобетоном;водозбірно-скидна мережа із відкритих земляних каналів; колекторно-дренажні земляні канали без кріплення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40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закрита колекторно-дренажна мережа: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канали із азбестоцементних труб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40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канали із гончарних труб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50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канали із пластмасових труб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20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водомірні пости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2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Машини та обладнання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Вимірювальні прилади, регулюючі прилади і пристрої, лабораторне обладнання, обчислювальна техніка, медичне обладнання, інші машини та обладнання (підгрупи 3 – 8)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Робочі машини та обладнання (підгрупа 2)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15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Силові машини та обладнання (підгрупа 1)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3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Транспортні засоби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Рухомий склад залізничного, повітряного та іншого транспорту (підгрупи 1 – 2)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20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Корпуси та причепи автомобілів (підгрупа 1)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Автомобілі легкові з двигуном внутрішнього згорання об'ємом циліндра (підгрупа 1):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до 2500 см куб.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7</w:t>
                  </w:r>
                </w:p>
              </w:tc>
            </w:tr>
            <w:tr w:rsidR="00C46C77" w:rsidRPr="00C46C77">
              <w:trPr>
                <w:trHeight w:val="38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більше 2500 см куб. та інші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Автомобілі вантажні (підгрупа 1): вантажопідйомністю до 5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7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вантажопідйомністю від 5 т до 20 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7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вантажопідйомністю більше 20 т та інші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7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Автобуси з двигуном внутрішнього згорання об'ємом циліндра (підгрупа 1):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до 2800 см куб.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7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понад 2800 см куб. та інші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Усі види гужового, виробничого та спортивного транспорту (підгрупи 3 – 5)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5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4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Інструменти, прилади та інвентар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Інструменти (підгрупа 1)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5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Виробничий та господарський інвентар (підгрупи 2 - 3)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5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Робочі і продуктивні тварини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Тварини зоопарків та подібних установ, службові собаки (підгрупи 3, 4)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5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Робоча, продуктивна та інша худоба (підгрупи 1, 2)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7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6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Багаторічні насадження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Культури ягідні (суниця)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3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Культури ягідні (крім суниці), плодові, овочеві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Культури ефіроолійні, лікарські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Насадження штучні ботанічних садів та інших науково-дослідних установ і навчальних закладів для науково-дослідних цілей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20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Насадження озеленювальні та декоративні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25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Захисні та інші лісні насадження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50</w:t>
                  </w:r>
                </w:p>
              </w:tc>
            </w:tr>
            <w:tr w:rsidR="00C46C77" w:rsidRPr="00C46C77">
              <w:trPr>
                <w:trHeight w:val="73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Інші довгострокові біологічні активи, не класифіковані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20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Інші основні засоби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Інші основні засоби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10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Необоротні матеріальні активи спеціального призначення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Необоротні матеріальні активи спеціального призначення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20</w:t>
                  </w:r>
                </w:p>
              </w:tc>
            </w:tr>
          </w:tbl>
          <w:p w:rsidR="00C46C77" w:rsidRPr="00C46C77" w:rsidRDefault="00C46C77" w:rsidP="00C46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                                                             »</w:t>
            </w:r>
          </w:p>
          <w:p w:rsidR="00C46C77" w:rsidRPr="00C46C77" w:rsidRDefault="00C46C77" w:rsidP="00C4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tbl>
            <w:tblPr>
              <w:tblW w:w="4110" w:type="dxa"/>
              <w:jc w:val="right"/>
              <w:tblInd w:w="56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0"/>
            </w:tblGrid>
            <w:tr w:rsidR="00C46C77" w:rsidRPr="00C46C77">
              <w:trPr>
                <w:trHeight w:val="618"/>
                <w:jc w:val="right"/>
              </w:trPr>
              <w:tc>
                <w:tcPr>
                  <w:tcW w:w="41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uk-UA"/>
                    </w:rPr>
                  </w:pP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bookmarkStart w:id="0" w:name="_GoBack"/>
                  <w:bookmarkEnd w:id="0"/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 «Додаток 2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до Положення про облікову політику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</w:tbl>
          <w:p w:rsidR="00C46C77" w:rsidRPr="00C46C77" w:rsidRDefault="00C46C77" w:rsidP="00C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  <w:p w:rsidR="00C46C77" w:rsidRPr="00C46C77" w:rsidRDefault="00C46C77" w:rsidP="00C4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Строки корисного використання нематеріальних активів</w:t>
            </w:r>
          </w:p>
          <w:p w:rsidR="00C46C77" w:rsidRPr="00C46C77" w:rsidRDefault="00C46C77" w:rsidP="00C4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C46C77" w:rsidRPr="00C46C77" w:rsidRDefault="00C46C77" w:rsidP="00C4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6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35"/>
              <w:gridCol w:w="1943"/>
              <w:gridCol w:w="4250"/>
              <w:gridCol w:w="2922"/>
            </w:tblGrid>
            <w:tr w:rsidR="00C46C77" w:rsidRPr="00C46C77">
              <w:trPr>
                <w:jc w:val="center"/>
              </w:trPr>
              <w:tc>
                <w:tcPr>
                  <w:tcW w:w="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N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з/п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Назва субрахунку</w:t>
                  </w:r>
                </w:p>
              </w:tc>
              <w:tc>
                <w:tcPr>
                  <w:tcW w:w="5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Назва підгрупи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Строк корисного використання, років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Авторські та суміжні з ними права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Авторське право та суміжні з ним права: право на літературні, художні, музичні твори, комп'ютерні програми, програми для електронно-обчислювальних машин, компіляції даних (бази даних), фонограми, відеограми, передачі (програми) організацій мовлення тощо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Відповідно до правовстановлюючого документа, але не менш як 2 роки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2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Інші нематеріальні активи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Права користування природними ресурсами: право користування надрами, іншими ресурсами природного середовища, геологічною та іншою інформацією про природне середовище тощо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Відповідно до правовстановлюючого документа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Права користування майном: право користування земельною ділянкою, крім права постійного користування земельною ділянкою, право користування будівлею, право на оренду приміщень тощо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Відповідно до правовстановлюючого документа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Права на знаки для товарів і послуг: товарні знаки, торгові марки, фірмові найменування тощо)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Відповідно до правовстановлюючого документа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Права на об'єкти промислової </w:t>
                  </w: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власності: право на винаходи, розробки, корисні моделі, промислові зразки, сорти рослин, породи тварин, захист від недобросовісної конкуренції тощо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Відповідно до </w:t>
                  </w: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правовстановлюючого документа, але не менш як 5 років</w:t>
                  </w:r>
                </w:p>
              </w:tc>
            </w:tr>
            <w:tr w:rsidR="00C46C77" w:rsidRPr="00C46C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Інші нематеріальні активи: право на провадження діяльності, використання економічних та інших привілеїв тощо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6C77" w:rsidRPr="00C46C77" w:rsidRDefault="00C46C77" w:rsidP="00C4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  <w:p w:rsidR="00C46C77" w:rsidRPr="00C46C77" w:rsidRDefault="00C46C77" w:rsidP="00C4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C46C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Відповідно до правовстановлюючого документа</w:t>
                  </w:r>
                </w:p>
              </w:tc>
            </w:tr>
          </w:tbl>
          <w:p w:rsidR="00C46C77" w:rsidRPr="00C46C77" w:rsidRDefault="00C46C77" w:rsidP="00C4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AA25E1" w:rsidRPr="00C46C77" w:rsidRDefault="00AA25E1">
      <w:pPr>
        <w:rPr>
          <w:rFonts w:ascii="Times New Roman" w:hAnsi="Times New Roman" w:cs="Times New Roman"/>
          <w:sz w:val="28"/>
          <w:szCs w:val="28"/>
        </w:rPr>
      </w:pPr>
    </w:p>
    <w:sectPr w:rsidR="00AA25E1" w:rsidRPr="00C46C77" w:rsidSect="006E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6C77"/>
    <w:rsid w:val="000131FE"/>
    <w:rsid w:val="00014BC7"/>
    <w:rsid w:val="000167DE"/>
    <w:rsid w:val="00017F14"/>
    <w:rsid w:val="00023721"/>
    <w:rsid w:val="00026FEA"/>
    <w:rsid w:val="000309BC"/>
    <w:rsid w:val="00033CC2"/>
    <w:rsid w:val="0004090F"/>
    <w:rsid w:val="00042D56"/>
    <w:rsid w:val="00044A1D"/>
    <w:rsid w:val="00050870"/>
    <w:rsid w:val="00056709"/>
    <w:rsid w:val="000578B3"/>
    <w:rsid w:val="00057C38"/>
    <w:rsid w:val="00057E80"/>
    <w:rsid w:val="000603E3"/>
    <w:rsid w:val="00062826"/>
    <w:rsid w:val="00065D1A"/>
    <w:rsid w:val="00067006"/>
    <w:rsid w:val="00070DA2"/>
    <w:rsid w:val="000727A7"/>
    <w:rsid w:val="00076020"/>
    <w:rsid w:val="00080C20"/>
    <w:rsid w:val="000813D7"/>
    <w:rsid w:val="000836E2"/>
    <w:rsid w:val="000903BD"/>
    <w:rsid w:val="00091E73"/>
    <w:rsid w:val="0009709C"/>
    <w:rsid w:val="000B0C3F"/>
    <w:rsid w:val="000B7A61"/>
    <w:rsid w:val="000C24F8"/>
    <w:rsid w:val="000C275D"/>
    <w:rsid w:val="000D63EA"/>
    <w:rsid w:val="000D6B70"/>
    <w:rsid w:val="000D6B80"/>
    <w:rsid w:val="000D7E6A"/>
    <w:rsid w:val="000E362E"/>
    <w:rsid w:val="000E3F60"/>
    <w:rsid w:val="000F48E3"/>
    <w:rsid w:val="001002FD"/>
    <w:rsid w:val="001015BA"/>
    <w:rsid w:val="00103E30"/>
    <w:rsid w:val="00104AF8"/>
    <w:rsid w:val="00110242"/>
    <w:rsid w:val="00111474"/>
    <w:rsid w:val="001146FD"/>
    <w:rsid w:val="00115D2E"/>
    <w:rsid w:val="00116220"/>
    <w:rsid w:val="00117065"/>
    <w:rsid w:val="00121AD9"/>
    <w:rsid w:val="00122C66"/>
    <w:rsid w:val="0012355F"/>
    <w:rsid w:val="0012619B"/>
    <w:rsid w:val="00126DB2"/>
    <w:rsid w:val="00132011"/>
    <w:rsid w:val="001426C7"/>
    <w:rsid w:val="0014392E"/>
    <w:rsid w:val="00143AE3"/>
    <w:rsid w:val="00146C3A"/>
    <w:rsid w:val="0015069A"/>
    <w:rsid w:val="00150802"/>
    <w:rsid w:val="00151A5C"/>
    <w:rsid w:val="001528DB"/>
    <w:rsid w:val="00156330"/>
    <w:rsid w:val="001601EB"/>
    <w:rsid w:val="0016063C"/>
    <w:rsid w:val="00164299"/>
    <w:rsid w:val="001643ED"/>
    <w:rsid w:val="00165148"/>
    <w:rsid w:val="00170788"/>
    <w:rsid w:val="00172237"/>
    <w:rsid w:val="00175870"/>
    <w:rsid w:val="00175949"/>
    <w:rsid w:val="00177835"/>
    <w:rsid w:val="0018251B"/>
    <w:rsid w:val="0018567A"/>
    <w:rsid w:val="00185AEB"/>
    <w:rsid w:val="001948A7"/>
    <w:rsid w:val="001948E5"/>
    <w:rsid w:val="00195946"/>
    <w:rsid w:val="001A0C0E"/>
    <w:rsid w:val="001A3125"/>
    <w:rsid w:val="001A3E93"/>
    <w:rsid w:val="001A52A5"/>
    <w:rsid w:val="001B39AF"/>
    <w:rsid w:val="001B564A"/>
    <w:rsid w:val="001C12B7"/>
    <w:rsid w:val="001C181D"/>
    <w:rsid w:val="001C1EB8"/>
    <w:rsid w:val="001D1985"/>
    <w:rsid w:val="001D3A21"/>
    <w:rsid w:val="001D498E"/>
    <w:rsid w:val="001D4E5D"/>
    <w:rsid w:val="001D5ED4"/>
    <w:rsid w:val="001E383C"/>
    <w:rsid w:val="001E546D"/>
    <w:rsid w:val="001F525C"/>
    <w:rsid w:val="001F731A"/>
    <w:rsid w:val="00201516"/>
    <w:rsid w:val="00205D16"/>
    <w:rsid w:val="00206AFC"/>
    <w:rsid w:val="00207B9A"/>
    <w:rsid w:val="00212F22"/>
    <w:rsid w:val="00224878"/>
    <w:rsid w:val="00225D28"/>
    <w:rsid w:val="002350AE"/>
    <w:rsid w:val="00240BE8"/>
    <w:rsid w:val="00241E10"/>
    <w:rsid w:val="00244294"/>
    <w:rsid w:val="00246AD7"/>
    <w:rsid w:val="00251B89"/>
    <w:rsid w:val="00254D2C"/>
    <w:rsid w:val="002730E5"/>
    <w:rsid w:val="00273B69"/>
    <w:rsid w:val="00276806"/>
    <w:rsid w:val="002813BA"/>
    <w:rsid w:val="00282AD3"/>
    <w:rsid w:val="0028356A"/>
    <w:rsid w:val="0029661A"/>
    <w:rsid w:val="00297C5D"/>
    <w:rsid w:val="002A02D7"/>
    <w:rsid w:val="002A05D5"/>
    <w:rsid w:val="002A08B5"/>
    <w:rsid w:val="002A7EF1"/>
    <w:rsid w:val="002B07BA"/>
    <w:rsid w:val="002B6C2B"/>
    <w:rsid w:val="002B771B"/>
    <w:rsid w:val="002C1936"/>
    <w:rsid w:val="002C4D00"/>
    <w:rsid w:val="002D192B"/>
    <w:rsid w:val="002D2AE4"/>
    <w:rsid w:val="002E474B"/>
    <w:rsid w:val="002E58F2"/>
    <w:rsid w:val="002E5973"/>
    <w:rsid w:val="002E6DFF"/>
    <w:rsid w:val="002F782F"/>
    <w:rsid w:val="00304CA6"/>
    <w:rsid w:val="00307E99"/>
    <w:rsid w:val="00313538"/>
    <w:rsid w:val="0031381A"/>
    <w:rsid w:val="003142FC"/>
    <w:rsid w:val="003159BC"/>
    <w:rsid w:val="00315E38"/>
    <w:rsid w:val="0031730D"/>
    <w:rsid w:val="003258F1"/>
    <w:rsid w:val="003260F3"/>
    <w:rsid w:val="0033043D"/>
    <w:rsid w:val="00330A0B"/>
    <w:rsid w:val="00346AB6"/>
    <w:rsid w:val="003504E6"/>
    <w:rsid w:val="00353526"/>
    <w:rsid w:val="003577DD"/>
    <w:rsid w:val="00363498"/>
    <w:rsid w:val="003645A2"/>
    <w:rsid w:val="00366642"/>
    <w:rsid w:val="00376116"/>
    <w:rsid w:val="00376590"/>
    <w:rsid w:val="00376677"/>
    <w:rsid w:val="00381568"/>
    <w:rsid w:val="00382D23"/>
    <w:rsid w:val="0039177F"/>
    <w:rsid w:val="003920BC"/>
    <w:rsid w:val="00393FBF"/>
    <w:rsid w:val="003961F2"/>
    <w:rsid w:val="00396201"/>
    <w:rsid w:val="003979E5"/>
    <w:rsid w:val="003A0F42"/>
    <w:rsid w:val="003A13F1"/>
    <w:rsid w:val="003A432C"/>
    <w:rsid w:val="003A6CB8"/>
    <w:rsid w:val="003B40CA"/>
    <w:rsid w:val="003C0B9A"/>
    <w:rsid w:val="003C1A3B"/>
    <w:rsid w:val="003C7F9E"/>
    <w:rsid w:val="003D364C"/>
    <w:rsid w:val="003E2A40"/>
    <w:rsid w:val="003E4359"/>
    <w:rsid w:val="003F2B6B"/>
    <w:rsid w:val="003F574C"/>
    <w:rsid w:val="003F661F"/>
    <w:rsid w:val="0040247A"/>
    <w:rsid w:val="0040413D"/>
    <w:rsid w:val="00405CFB"/>
    <w:rsid w:val="0041072A"/>
    <w:rsid w:val="00421E22"/>
    <w:rsid w:val="00423BA5"/>
    <w:rsid w:val="00427D84"/>
    <w:rsid w:val="00435D91"/>
    <w:rsid w:val="00437256"/>
    <w:rsid w:val="00437F69"/>
    <w:rsid w:val="00441F91"/>
    <w:rsid w:val="00444D27"/>
    <w:rsid w:val="004454A7"/>
    <w:rsid w:val="00447E57"/>
    <w:rsid w:val="004516D8"/>
    <w:rsid w:val="00453FA2"/>
    <w:rsid w:val="004544CD"/>
    <w:rsid w:val="004546A1"/>
    <w:rsid w:val="00457038"/>
    <w:rsid w:val="004618C8"/>
    <w:rsid w:val="00462B7B"/>
    <w:rsid w:val="00465302"/>
    <w:rsid w:val="00483DFA"/>
    <w:rsid w:val="00486E88"/>
    <w:rsid w:val="0048786B"/>
    <w:rsid w:val="00493F95"/>
    <w:rsid w:val="004979E2"/>
    <w:rsid w:val="004A0175"/>
    <w:rsid w:val="004A38BB"/>
    <w:rsid w:val="004A46F5"/>
    <w:rsid w:val="004A7DB2"/>
    <w:rsid w:val="004B2C5C"/>
    <w:rsid w:val="004B33CC"/>
    <w:rsid w:val="004B3645"/>
    <w:rsid w:val="004B7D61"/>
    <w:rsid w:val="004C1135"/>
    <w:rsid w:val="004C15F2"/>
    <w:rsid w:val="004C4722"/>
    <w:rsid w:val="004D0141"/>
    <w:rsid w:val="004D1A0E"/>
    <w:rsid w:val="004D35F5"/>
    <w:rsid w:val="004D45D1"/>
    <w:rsid w:val="004D5445"/>
    <w:rsid w:val="004E7A1D"/>
    <w:rsid w:val="004F1EAC"/>
    <w:rsid w:val="004F2731"/>
    <w:rsid w:val="004F2A1F"/>
    <w:rsid w:val="004F2E5E"/>
    <w:rsid w:val="0050048D"/>
    <w:rsid w:val="005041C3"/>
    <w:rsid w:val="00507EF2"/>
    <w:rsid w:val="005109AA"/>
    <w:rsid w:val="00510B41"/>
    <w:rsid w:val="00511030"/>
    <w:rsid w:val="0051396D"/>
    <w:rsid w:val="0051552E"/>
    <w:rsid w:val="00515FC7"/>
    <w:rsid w:val="005261A6"/>
    <w:rsid w:val="005339A9"/>
    <w:rsid w:val="005378B9"/>
    <w:rsid w:val="00541549"/>
    <w:rsid w:val="005432D2"/>
    <w:rsid w:val="0054539E"/>
    <w:rsid w:val="0054583E"/>
    <w:rsid w:val="0055044D"/>
    <w:rsid w:val="005554F3"/>
    <w:rsid w:val="005574F4"/>
    <w:rsid w:val="00561096"/>
    <w:rsid w:val="00561DAE"/>
    <w:rsid w:val="00567D30"/>
    <w:rsid w:val="00580D21"/>
    <w:rsid w:val="0058445C"/>
    <w:rsid w:val="005903E2"/>
    <w:rsid w:val="005908C9"/>
    <w:rsid w:val="00593B26"/>
    <w:rsid w:val="00596FC6"/>
    <w:rsid w:val="005A2409"/>
    <w:rsid w:val="005A4641"/>
    <w:rsid w:val="005A5B1F"/>
    <w:rsid w:val="005B3312"/>
    <w:rsid w:val="005B4388"/>
    <w:rsid w:val="005B4D95"/>
    <w:rsid w:val="005C5DD2"/>
    <w:rsid w:val="005C6E78"/>
    <w:rsid w:val="005D272E"/>
    <w:rsid w:val="005D3BE6"/>
    <w:rsid w:val="005D7952"/>
    <w:rsid w:val="005E4218"/>
    <w:rsid w:val="005E66A5"/>
    <w:rsid w:val="005F3C86"/>
    <w:rsid w:val="005F6BA5"/>
    <w:rsid w:val="006024D7"/>
    <w:rsid w:val="00602C2D"/>
    <w:rsid w:val="006070BA"/>
    <w:rsid w:val="006127D6"/>
    <w:rsid w:val="00612E73"/>
    <w:rsid w:val="006158DF"/>
    <w:rsid w:val="00617AE1"/>
    <w:rsid w:val="006274F4"/>
    <w:rsid w:val="00631859"/>
    <w:rsid w:val="00633206"/>
    <w:rsid w:val="00640E86"/>
    <w:rsid w:val="00644476"/>
    <w:rsid w:val="00645C5F"/>
    <w:rsid w:val="0065072E"/>
    <w:rsid w:val="00654A3E"/>
    <w:rsid w:val="006575F3"/>
    <w:rsid w:val="006621A7"/>
    <w:rsid w:val="00663874"/>
    <w:rsid w:val="006659B5"/>
    <w:rsid w:val="006664BA"/>
    <w:rsid w:val="00666AE6"/>
    <w:rsid w:val="006754CF"/>
    <w:rsid w:val="00676BC0"/>
    <w:rsid w:val="00676E10"/>
    <w:rsid w:val="006775E5"/>
    <w:rsid w:val="00677E7A"/>
    <w:rsid w:val="00683B20"/>
    <w:rsid w:val="00686A3B"/>
    <w:rsid w:val="006902BD"/>
    <w:rsid w:val="00691F02"/>
    <w:rsid w:val="0069295E"/>
    <w:rsid w:val="00694138"/>
    <w:rsid w:val="0069544F"/>
    <w:rsid w:val="006968AC"/>
    <w:rsid w:val="006A12CD"/>
    <w:rsid w:val="006A35E7"/>
    <w:rsid w:val="006A37EF"/>
    <w:rsid w:val="006A3D81"/>
    <w:rsid w:val="006A3E9B"/>
    <w:rsid w:val="006B03E6"/>
    <w:rsid w:val="006B453C"/>
    <w:rsid w:val="006B4F08"/>
    <w:rsid w:val="006C2CC9"/>
    <w:rsid w:val="006C3BFC"/>
    <w:rsid w:val="006C4D64"/>
    <w:rsid w:val="006C64DF"/>
    <w:rsid w:val="006C6502"/>
    <w:rsid w:val="006C79C4"/>
    <w:rsid w:val="006D0008"/>
    <w:rsid w:val="006D03D7"/>
    <w:rsid w:val="006D0666"/>
    <w:rsid w:val="006D6066"/>
    <w:rsid w:val="006D630D"/>
    <w:rsid w:val="006D686F"/>
    <w:rsid w:val="006E409A"/>
    <w:rsid w:val="006E7A8E"/>
    <w:rsid w:val="006F0B3E"/>
    <w:rsid w:val="006F0F8D"/>
    <w:rsid w:val="006F5BCE"/>
    <w:rsid w:val="007002D5"/>
    <w:rsid w:val="00701920"/>
    <w:rsid w:val="00701ADD"/>
    <w:rsid w:val="00702543"/>
    <w:rsid w:val="00703511"/>
    <w:rsid w:val="007042CF"/>
    <w:rsid w:val="0071008F"/>
    <w:rsid w:val="007137C5"/>
    <w:rsid w:val="00717553"/>
    <w:rsid w:val="00720F25"/>
    <w:rsid w:val="00722413"/>
    <w:rsid w:val="0072311C"/>
    <w:rsid w:val="00723CC5"/>
    <w:rsid w:val="0072490D"/>
    <w:rsid w:val="00730D10"/>
    <w:rsid w:val="00734CA4"/>
    <w:rsid w:val="0073689C"/>
    <w:rsid w:val="00740DC8"/>
    <w:rsid w:val="007410BD"/>
    <w:rsid w:val="007501F9"/>
    <w:rsid w:val="007509F3"/>
    <w:rsid w:val="00754868"/>
    <w:rsid w:val="00757D5B"/>
    <w:rsid w:val="007621C0"/>
    <w:rsid w:val="007627A3"/>
    <w:rsid w:val="00763013"/>
    <w:rsid w:val="007657D5"/>
    <w:rsid w:val="007665DD"/>
    <w:rsid w:val="00771969"/>
    <w:rsid w:val="007730CB"/>
    <w:rsid w:val="00781FEE"/>
    <w:rsid w:val="00785E48"/>
    <w:rsid w:val="007861B9"/>
    <w:rsid w:val="00787703"/>
    <w:rsid w:val="00790830"/>
    <w:rsid w:val="00791837"/>
    <w:rsid w:val="00792126"/>
    <w:rsid w:val="0079476E"/>
    <w:rsid w:val="0079615C"/>
    <w:rsid w:val="007A0BB8"/>
    <w:rsid w:val="007A1507"/>
    <w:rsid w:val="007A15FF"/>
    <w:rsid w:val="007B172B"/>
    <w:rsid w:val="007B435F"/>
    <w:rsid w:val="007B4C2A"/>
    <w:rsid w:val="007B74BD"/>
    <w:rsid w:val="007C14A8"/>
    <w:rsid w:val="007C2DBD"/>
    <w:rsid w:val="007C6D20"/>
    <w:rsid w:val="007C7F1B"/>
    <w:rsid w:val="007D52C9"/>
    <w:rsid w:val="007E0250"/>
    <w:rsid w:val="007E1E5C"/>
    <w:rsid w:val="007E287B"/>
    <w:rsid w:val="007E3799"/>
    <w:rsid w:val="007E7AF5"/>
    <w:rsid w:val="007F2748"/>
    <w:rsid w:val="007F2D55"/>
    <w:rsid w:val="007F5400"/>
    <w:rsid w:val="00806A9B"/>
    <w:rsid w:val="00806D8C"/>
    <w:rsid w:val="008070D2"/>
    <w:rsid w:val="008142C4"/>
    <w:rsid w:val="00815785"/>
    <w:rsid w:val="00817530"/>
    <w:rsid w:val="00817D9A"/>
    <w:rsid w:val="008209CE"/>
    <w:rsid w:val="008215A7"/>
    <w:rsid w:val="0083261A"/>
    <w:rsid w:val="008331DD"/>
    <w:rsid w:val="00836750"/>
    <w:rsid w:val="00844EE2"/>
    <w:rsid w:val="00850663"/>
    <w:rsid w:val="0085083A"/>
    <w:rsid w:val="00851CD3"/>
    <w:rsid w:val="00856379"/>
    <w:rsid w:val="008567C3"/>
    <w:rsid w:val="0085688D"/>
    <w:rsid w:val="008607D8"/>
    <w:rsid w:val="0086175A"/>
    <w:rsid w:val="0086427A"/>
    <w:rsid w:val="008656EA"/>
    <w:rsid w:val="0086577F"/>
    <w:rsid w:val="0086659D"/>
    <w:rsid w:val="00872AB5"/>
    <w:rsid w:val="00877A99"/>
    <w:rsid w:val="008802D5"/>
    <w:rsid w:val="00886A62"/>
    <w:rsid w:val="008947C9"/>
    <w:rsid w:val="00894D90"/>
    <w:rsid w:val="00895808"/>
    <w:rsid w:val="008967CE"/>
    <w:rsid w:val="00896B34"/>
    <w:rsid w:val="008A320C"/>
    <w:rsid w:val="008A483E"/>
    <w:rsid w:val="008A506F"/>
    <w:rsid w:val="008B2CA4"/>
    <w:rsid w:val="008B6803"/>
    <w:rsid w:val="008B7780"/>
    <w:rsid w:val="008C1B68"/>
    <w:rsid w:val="008C3F77"/>
    <w:rsid w:val="008C5E49"/>
    <w:rsid w:val="008C72EF"/>
    <w:rsid w:val="008D196E"/>
    <w:rsid w:val="008D2FC5"/>
    <w:rsid w:val="008D5237"/>
    <w:rsid w:val="008E7331"/>
    <w:rsid w:val="008F6CE1"/>
    <w:rsid w:val="008F7615"/>
    <w:rsid w:val="008F7704"/>
    <w:rsid w:val="00901C19"/>
    <w:rsid w:val="00905B59"/>
    <w:rsid w:val="00910E56"/>
    <w:rsid w:val="0091524B"/>
    <w:rsid w:val="009204B3"/>
    <w:rsid w:val="009236C6"/>
    <w:rsid w:val="0093052A"/>
    <w:rsid w:val="00931774"/>
    <w:rsid w:val="00933318"/>
    <w:rsid w:val="0093410D"/>
    <w:rsid w:val="009352CB"/>
    <w:rsid w:val="00937DD6"/>
    <w:rsid w:val="00942C36"/>
    <w:rsid w:val="00946717"/>
    <w:rsid w:val="0095430A"/>
    <w:rsid w:val="0095525D"/>
    <w:rsid w:val="00957D50"/>
    <w:rsid w:val="00963246"/>
    <w:rsid w:val="0097042F"/>
    <w:rsid w:val="00972F54"/>
    <w:rsid w:val="00973383"/>
    <w:rsid w:val="009736BD"/>
    <w:rsid w:val="00973C28"/>
    <w:rsid w:val="00976EE3"/>
    <w:rsid w:val="00981B40"/>
    <w:rsid w:val="009830D4"/>
    <w:rsid w:val="00986646"/>
    <w:rsid w:val="00986DD8"/>
    <w:rsid w:val="00986E90"/>
    <w:rsid w:val="00987544"/>
    <w:rsid w:val="00991949"/>
    <w:rsid w:val="009951DE"/>
    <w:rsid w:val="00996AB7"/>
    <w:rsid w:val="009B20C0"/>
    <w:rsid w:val="009B28B4"/>
    <w:rsid w:val="009B5317"/>
    <w:rsid w:val="009C1268"/>
    <w:rsid w:val="009C48E5"/>
    <w:rsid w:val="009C7511"/>
    <w:rsid w:val="009D161C"/>
    <w:rsid w:val="009D1B44"/>
    <w:rsid w:val="009D3640"/>
    <w:rsid w:val="009D3B27"/>
    <w:rsid w:val="009D4CD1"/>
    <w:rsid w:val="009E1324"/>
    <w:rsid w:val="009E4A09"/>
    <w:rsid w:val="009E5046"/>
    <w:rsid w:val="009E554A"/>
    <w:rsid w:val="009E78F4"/>
    <w:rsid w:val="009F3C99"/>
    <w:rsid w:val="009F648F"/>
    <w:rsid w:val="009F65C7"/>
    <w:rsid w:val="009F6988"/>
    <w:rsid w:val="00A0300C"/>
    <w:rsid w:val="00A05489"/>
    <w:rsid w:val="00A11623"/>
    <w:rsid w:val="00A14EE1"/>
    <w:rsid w:val="00A206FC"/>
    <w:rsid w:val="00A20F7D"/>
    <w:rsid w:val="00A22E6E"/>
    <w:rsid w:val="00A23A9B"/>
    <w:rsid w:val="00A31C02"/>
    <w:rsid w:val="00A32735"/>
    <w:rsid w:val="00A3287E"/>
    <w:rsid w:val="00A343AA"/>
    <w:rsid w:val="00A3501C"/>
    <w:rsid w:val="00A42DC8"/>
    <w:rsid w:val="00A42EB0"/>
    <w:rsid w:val="00A4357D"/>
    <w:rsid w:val="00A441CE"/>
    <w:rsid w:val="00A450B3"/>
    <w:rsid w:val="00A4541F"/>
    <w:rsid w:val="00A461B9"/>
    <w:rsid w:val="00A46280"/>
    <w:rsid w:val="00A50DF3"/>
    <w:rsid w:val="00A5260D"/>
    <w:rsid w:val="00A53581"/>
    <w:rsid w:val="00A54D3D"/>
    <w:rsid w:val="00A57496"/>
    <w:rsid w:val="00A7031A"/>
    <w:rsid w:val="00A70776"/>
    <w:rsid w:val="00A71507"/>
    <w:rsid w:val="00A743D0"/>
    <w:rsid w:val="00A768AB"/>
    <w:rsid w:val="00A771C2"/>
    <w:rsid w:val="00A77DAA"/>
    <w:rsid w:val="00A8607D"/>
    <w:rsid w:val="00A87D6C"/>
    <w:rsid w:val="00A9107B"/>
    <w:rsid w:val="00A911FC"/>
    <w:rsid w:val="00A91A05"/>
    <w:rsid w:val="00A9344C"/>
    <w:rsid w:val="00A95921"/>
    <w:rsid w:val="00A96121"/>
    <w:rsid w:val="00A97ED6"/>
    <w:rsid w:val="00AA106C"/>
    <w:rsid w:val="00AA25E1"/>
    <w:rsid w:val="00AA2A0B"/>
    <w:rsid w:val="00AA4785"/>
    <w:rsid w:val="00AB0D09"/>
    <w:rsid w:val="00AD0178"/>
    <w:rsid w:val="00AD333D"/>
    <w:rsid w:val="00AD6070"/>
    <w:rsid w:val="00AD7B1C"/>
    <w:rsid w:val="00AE1216"/>
    <w:rsid w:val="00AF6B9C"/>
    <w:rsid w:val="00AF7578"/>
    <w:rsid w:val="00B00C7E"/>
    <w:rsid w:val="00B030C8"/>
    <w:rsid w:val="00B05B98"/>
    <w:rsid w:val="00B063E1"/>
    <w:rsid w:val="00B07058"/>
    <w:rsid w:val="00B1152A"/>
    <w:rsid w:val="00B1332F"/>
    <w:rsid w:val="00B14C51"/>
    <w:rsid w:val="00B1671F"/>
    <w:rsid w:val="00B17EDC"/>
    <w:rsid w:val="00B2597C"/>
    <w:rsid w:val="00B3049F"/>
    <w:rsid w:val="00B30837"/>
    <w:rsid w:val="00B347B7"/>
    <w:rsid w:val="00B400CA"/>
    <w:rsid w:val="00B40C94"/>
    <w:rsid w:val="00B4210D"/>
    <w:rsid w:val="00B4412F"/>
    <w:rsid w:val="00B47CD4"/>
    <w:rsid w:val="00B61746"/>
    <w:rsid w:val="00B63504"/>
    <w:rsid w:val="00B66777"/>
    <w:rsid w:val="00B7548A"/>
    <w:rsid w:val="00B84AA4"/>
    <w:rsid w:val="00B852CC"/>
    <w:rsid w:val="00B924FF"/>
    <w:rsid w:val="00BA239C"/>
    <w:rsid w:val="00BA555A"/>
    <w:rsid w:val="00BA59AF"/>
    <w:rsid w:val="00BB0A9C"/>
    <w:rsid w:val="00BB3E05"/>
    <w:rsid w:val="00BB7DB8"/>
    <w:rsid w:val="00BC3D75"/>
    <w:rsid w:val="00BC6FC1"/>
    <w:rsid w:val="00BD6B21"/>
    <w:rsid w:val="00BD7EB7"/>
    <w:rsid w:val="00BE2877"/>
    <w:rsid w:val="00BE4825"/>
    <w:rsid w:val="00BE651A"/>
    <w:rsid w:val="00BF1242"/>
    <w:rsid w:val="00BF12B8"/>
    <w:rsid w:val="00BF31EE"/>
    <w:rsid w:val="00BF628E"/>
    <w:rsid w:val="00C030A2"/>
    <w:rsid w:val="00C115A7"/>
    <w:rsid w:val="00C13AEF"/>
    <w:rsid w:val="00C24AEA"/>
    <w:rsid w:val="00C30540"/>
    <w:rsid w:val="00C317E8"/>
    <w:rsid w:val="00C321D9"/>
    <w:rsid w:val="00C33F2E"/>
    <w:rsid w:val="00C44644"/>
    <w:rsid w:val="00C46C77"/>
    <w:rsid w:val="00C5598D"/>
    <w:rsid w:val="00C57B96"/>
    <w:rsid w:val="00C66C2D"/>
    <w:rsid w:val="00C7035F"/>
    <w:rsid w:val="00C83992"/>
    <w:rsid w:val="00C83C39"/>
    <w:rsid w:val="00C93C45"/>
    <w:rsid w:val="00CA0CE9"/>
    <w:rsid w:val="00CA387F"/>
    <w:rsid w:val="00CA6A59"/>
    <w:rsid w:val="00CC2982"/>
    <w:rsid w:val="00CC3323"/>
    <w:rsid w:val="00CD14ED"/>
    <w:rsid w:val="00CD24B5"/>
    <w:rsid w:val="00CD388D"/>
    <w:rsid w:val="00CD5402"/>
    <w:rsid w:val="00CE6CDC"/>
    <w:rsid w:val="00CF03B8"/>
    <w:rsid w:val="00CF17C3"/>
    <w:rsid w:val="00CF1ADA"/>
    <w:rsid w:val="00CF1FE6"/>
    <w:rsid w:val="00CF291F"/>
    <w:rsid w:val="00CF5EAB"/>
    <w:rsid w:val="00D004AF"/>
    <w:rsid w:val="00D049DE"/>
    <w:rsid w:val="00D04F4F"/>
    <w:rsid w:val="00D06CF6"/>
    <w:rsid w:val="00D136A7"/>
    <w:rsid w:val="00D16C97"/>
    <w:rsid w:val="00D232A4"/>
    <w:rsid w:val="00D2520C"/>
    <w:rsid w:val="00D3209B"/>
    <w:rsid w:val="00D34217"/>
    <w:rsid w:val="00D3743A"/>
    <w:rsid w:val="00D45924"/>
    <w:rsid w:val="00D4595C"/>
    <w:rsid w:val="00D470BF"/>
    <w:rsid w:val="00D53610"/>
    <w:rsid w:val="00D5501D"/>
    <w:rsid w:val="00D61D17"/>
    <w:rsid w:val="00D61DD4"/>
    <w:rsid w:val="00D62309"/>
    <w:rsid w:val="00D64A5E"/>
    <w:rsid w:val="00D70F3F"/>
    <w:rsid w:val="00D763BB"/>
    <w:rsid w:val="00D802BF"/>
    <w:rsid w:val="00D80FED"/>
    <w:rsid w:val="00D8284E"/>
    <w:rsid w:val="00D84A39"/>
    <w:rsid w:val="00D8535F"/>
    <w:rsid w:val="00D87ADE"/>
    <w:rsid w:val="00D900E8"/>
    <w:rsid w:val="00D930D1"/>
    <w:rsid w:val="00D94B88"/>
    <w:rsid w:val="00DA0188"/>
    <w:rsid w:val="00DA45B8"/>
    <w:rsid w:val="00DA4DDA"/>
    <w:rsid w:val="00DA636D"/>
    <w:rsid w:val="00DB246C"/>
    <w:rsid w:val="00DB4BB7"/>
    <w:rsid w:val="00DB4C96"/>
    <w:rsid w:val="00DB5FB1"/>
    <w:rsid w:val="00DB6264"/>
    <w:rsid w:val="00DB63B5"/>
    <w:rsid w:val="00DB7CF2"/>
    <w:rsid w:val="00DC0116"/>
    <w:rsid w:val="00DC5992"/>
    <w:rsid w:val="00DC59D2"/>
    <w:rsid w:val="00DC619A"/>
    <w:rsid w:val="00DC7373"/>
    <w:rsid w:val="00DC7B2C"/>
    <w:rsid w:val="00DD71A0"/>
    <w:rsid w:val="00DE2DEC"/>
    <w:rsid w:val="00DE366A"/>
    <w:rsid w:val="00DE3B02"/>
    <w:rsid w:val="00DF0E71"/>
    <w:rsid w:val="00DF3C4F"/>
    <w:rsid w:val="00DF3E03"/>
    <w:rsid w:val="00E0315B"/>
    <w:rsid w:val="00E131ED"/>
    <w:rsid w:val="00E142B5"/>
    <w:rsid w:val="00E15887"/>
    <w:rsid w:val="00E20EDE"/>
    <w:rsid w:val="00E225BF"/>
    <w:rsid w:val="00E243B0"/>
    <w:rsid w:val="00E249B4"/>
    <w:rsid w:val="00E262E9"/>
    <w:rsid w:val="00E326CC"/>
    <w:rsid w:val="00E359EC"/>
    <w:rsid w:val="00E36EED"/>
    <w:rsid w:val="00E40266"/>
    <w:rsid w:val="00E41DB6"/>
    <w:rsid w:val="00E45C64"/>
    <w:rsid w:val="00E46F81"/>
    <w:rsid w:val="00E476E7"/>
    <w:rsid w:val="00E5193A"/>
    <w:rsid w:val="00E612AA"/>
    <w:rsid w:val="00E645FB"/>
    <w:rsid w:val="00E669E7"/>
    <w:rsid w:val="00E70FF2"/>
    <w:rsid w:val="00E76020"/>
    <w:rsid w:val="00E76C14"/>
    <w:rsid w:val="00E90488"/>
    <w:rsid w:val="00E90630"/>
    <w:rsid w:val="00E95AC7"/>
    <w:rsid w:val="00E95E08"/>
    <w:rsid w:val="00EA08BF"/>
    <w:rsid w:val="00EA112D"/>
    <w:rsid w:val="00EA40C3"/>
    <w:rsid w:val="00EB29E5"/>
    <w:rsid w:val="00EB386F"/>
    <w:rsid w:val="00EB38C4"/>
    <w:rsid w:val="00EB6E15"/>
    <w:rsid w:val="00EB7C29"/>
    <w:rsid w:val="00EC37A4"/>
    <w:rsid w:val="00EC4078"/>
    <w:rsid w:val="00EC5241"/>
    <w:rsid w:val="00ED0FBE"/>
    <w:rsid w:val="00ED23B8"/>
    <w:rsid w:val="00ED2755"/>
    <w:rsid w:val="00ED6623"/>
    <w:rsid w:val="00ED7880"/>
    <w:rsid w:val="00EE030F"/>
    <w:rsid w:val="00EE11E4"/>
    <w:rsid w:val="00EE1CA8"/>
    <w:rsid w:val="00EE3101"/>
    <w:rsid w:val="00EF0E3C"/>
    <w:rsid w:val="00EF3F4E"/>
    <w:rsid w:val="00EF422A"/>
    <w:rsid w:val="00EF6F48"/>
    <w:rsid w:val="00F05E90"/>
    <w:rsid w:val="00F06DD2"/>
    <w:rsid w:val="00F10532"/>
    <w:rsid w:val="00F105B3"/>
    <w:rsid w:val="00F17A05"/>
    <w:rsid w:val="00F20198"/>
    <w:rsid w:val="00F20B7A"/>
    <w:rsid w:val="00F21A17"/>
    <w:rsid w:val="00F25521"/>
    <w:rsid w:val="00F2712B"/>
    <w:rsid w:val="00F367A8"/>
    <w:rsid w:val="00F43600"/>
    <w:rsid w:val="00F45BAE"/>
    <w:rsid w:val="00F503D2"/>
    <w:rsid w:val="00F52AB0"/>
    <w:rsid w:val="00F54834"/>
    <w:rsid w:val="00F5537A"/>
    <w:rsid w:val="00F61BE8"/>
    <w:rsid w:val="00F70AD8"/>
    <w:rsid w:val="00F75231"/>
    <w:rsid w:val="00F84526"/>
    <w:rsid w:val="00F84C96"/>
    <w:rsid w:val="00F86711"/>
    <w:rsid w:val="00F87B6C"/>
    <w:rsid w:val="00F92F6F"/>
    <w:rsid w:val="00F972BB"/>
    <w:rsid w:val="00FA66A4"/>
    <w:rsid w:val="00FA798C"/>
    <w:rsid w:val="00FB0A9A"/>
    <w:rsid w:val="00FB3CDA"/>
    <w:rsid w:val="00FB41F6"/>
    <w:rsid w:val="00FC3BF9"/>
    <w:rsid w:val="00FD2949"/>
    <w:rsid w:val="00FD79C4"/>
    <w:rsid w:val="00FE0093"/>
    <w:rsid w:val="00FE1112"/>
    <w:rsid w:val="00FE231E"/>
    <w:rsid w:val="00FE47AE"/>
    <w:rsid w:val="00FE5370"/>
    <w:rsid w:val="00FE6FEF"/>
    <w:rsid w:val="00FF052B"/>
    <w:rsid w:val="00FF306F"/>
    <w:rsid w:val="00FF32BC"/>
    <w:rsid w:val="00FF536B"/>
    <w:rsid w:val="00FF54D5"/>
    <w:rsid w:val="00FF5640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C77"/>
  </w:style>
  <w:style w:type="character" w:customStyle="1" w:styleId="spelle">
    <w:name w:val="spelle"/>
    <w:basedOn w:val="a0"/>
    <w:rsid w:val="00C46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C77"/>
  </w:style>
  <w:style w:type="character" w:customStyle="1" w:styleId="spelle">
    <w:name w:val="spelle"/>
    <w:basedOn w:val="a0"/>
    <w:rsid w:val="00C46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3573</Words>
  <Characters>20369</Characters>
  <Application>Microsoft Office Word</Application>
  <DocSecurity>0</DocSecurity>
  <Lines>169</Lines>
  <Paragraphs>47</Paragraphs>
  <ScaleCrop>false</ScaleCrop>
  <Company>Minfin</Company>
  <LinksUpToDate>false</LinksUpToDate>
  <CharactersWithSpaces>23895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dcterms:created xsi:type="dcterms:W3CDTF">2016-07-26T13:42:00Z</dcterms:created>
  <dcterms:modified xsi:type="dcterms:W3CDTF">2016-07-26T13:42:00Z</dcterms:modified>
</cp:coreProperties>
</file>